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6AAAAA2">
      <w:pPr>
        <w:pStyle w:val="18"/>
        <w:keepNext w:val="0"/>
        <w:keepLines w:val="0"/>
        <w:pageBreakBefore w:val="0"/>
        <w:wordWrap/>
        <w:topLinePunct w:val="0"/>
        <w:bidi w:val="0"/>
        <w:spacing w:line="560" w:lineRule="exact"/>
        <w:ind w:left="0" w:leftChars="0" w:firstLine="0" w:firstLineChars="0"/>
        <w:rPr>
          <w:rFonts w:hint="default" w:ascii="黑体" w:hAnsi="黑体" w:eastAsia="黑体" w:cs="黑体"/>
          <w:color w:val="000000" w:themeColor="text1"/>
          <w:sz w:val="32"/>
          <w:szCs w:val="32"/>
          <w:lang w:val="en-US" w:eastAsia="zh-CN"/>
          <w14:textFill>
            <w14:solidFill>
              <w14:schemeClr w14:val="tx1"/>
            </w14:solidFill>
          </w14:textFill>
        </w:rPr>
      </w:pPr>
      <w:r>
        <w:rPr>
          <w:rFonts w:hint="eastAsia" w:ascii="黑体" w:hAnsi="黑体" w:eastAsia="黑体" w:cs="黑体"/>
          <w:color w:val="000000" w:themeColor="text1"/>
          <w:sz w:val="32"/>
          <w:szCs w:val="32"/>
          <w:lang w:eastAsia="zh-CN"/>
          <w14:textFill>
            <w14:solidFill>
              <w14:schemeClr w14:val="tx1"/>
            </w14:solidFill>
          </w14:textFill>
        </w:rPr>
        <w:t>附件</w:t>
      </w:r>
      <w:r>
        <w:rPr>
          <w:rFonts w:hint="eastAsia" w:ascii="黑体" w:hAnsi="黑体" w:eastAsia="黑体" w:cs="黑体"/>
          <w:color w:val="000000" w:themeColor="text1"/>
          <w:sz w:val="32"/>
          <w:szCs w:val="32"/>
          <w:lang w:val="en-US" w:eastAsia="zh-CN"/>
          <w14:textFill>
            <w14:solidFill>
              <w14:schemeClr w14:val="tx1"/>
            </w14:solidFill>
          </w14:textFill>
        </w:rPr>
        <w:t>2</w:t>
      </w:r>
    </w:p>
    <w:p w14:paraId="280C89DF">
      <w:pPr>
        <w:pStyle w:val="18"/>
        <w:keepNext w:val="0"/>
        <w:keepLines w:val="0"/>
        <w:pageBreakBefore w:val="0"/>
        <w:wordWrap/>
        <w:topLinePunct w:val="0"/>
        <w:bidi w:val="0"/>
        <w:spacing w:line="560" w:lineRule="exact"/>
        <w:ind w:left="0" w:leftChars="0" w:firstLine="0" w:firstLineChars="0"/>
        <w:jc w:val="center"/>
        <w:rPr>
          <w:rFonts w:hint="eastAsia" w:ascii="方正小标宋简体" w:hAnsi="方正小标宋简体" w:eastAsia="方正小标宋简体" w:cs="方正小标宋简体"/>
          <w:color w:val="000000" w:themeColor="text1"/>
          <w:sz w:val="44"/>
          <w:szCs w:val="44"/>
          <w:lang w:eastAsia="zh-CN"/>
          <w14:textFill>
            <w14:solidFill>
              <w14:schemeClr w14:val="tx1"/>
            </w14:solidFill>
          </w14:textFill>
        </w:rPr>
      </w:pPr>
      <w:bookmarkStart w:id="0" w:name="_GoBack"/>
      <w:r>
        <w:rPr>
          <w:rFonts w:hint="eastAsia" w:ascii="方正小标宋简体" w:hAnsi="方正小标宋简体" w:eastAsia="方正小标宋简体" w:cs="方正小标宋简体"/>
          <w:color w:val="000000" w:themeColor="text1"/>
          <w:sz w:val="44"/>
          <w:szCs w:val="44"/>
          <w:lang w:eastAsia="zh-CN"/>
          <w14:textFill>
            <w14:solidFill>
              <w14:schemeClr w14:val="tx1"/>
            </w14:solidFill>
          </w14:textFill>
        </w:rPr>
        <w:t>关于开展“我与法治”故事征集活动的通知</w:t>
      </w:r>
    </w:p>
    <w:bookmarkEnd w:id="0"/>
    <w:p w14:paraId="572DBDC9">
      <w:pPr>
        <w:pStyle w:val="18"/>
        <w:keepNext w:val="0"/>
        <w:keepLines w:val="0"/>
        <w:pageBreakBefore w:val="0"/>
        <w:widowControl/>
        <w:kinsoku w:val="0"/>
        <w:wordWrap/>
        <w:overflowPunct/>
        <w:topLinePunct w:val="0"/>
        <w:autoSpaceDE w:val="0"/>
        <w:autoSpaceDN w:val="0"/>
        <w:bidi w:val="0"/>
        <w:adjustRightInd w:val="0"/>
        <w:snapToGrid w:val="0"/>
        <w:spacing w:line="560" w:lineRule="exact"/>
        <w:ind w:left="0" w:leftChars="0" w:firstLine="0" w:firstLineChars="0"/>
        <w:textAlignment w:val="baseline"/>
        <w:rPr>
          <w:rFonts w:hint="eastAsia" w:ascii="仿宋_GB2312" w:hAnsi="仿宋_GB2312" w:eastAsia="仿宋_GB2312" w:cs="仿宋_GB2312"/>
          <w:color w:val="000000" w:themeColor="text1"/>
          <w:sz w:val="32"/>
          <w:szCs w:val="32"/>
          <w:lang w:eastAsia="zh-CN"/>
          <w14:textFill>
            <w14:solidFill>
              <w14:schemeClr w14:val="tx1"/>
            </w14:solidFill>
          </w14:textFill>
        </w:rPr>
      </w:pPr>
    </w:p>
    <w:p w14:paraId="567C9731">
      <w:pPr>
        <w:pStyle w:val="18"/>
        <w:keepNext w:val="0"/>
        <w:keepLines w:val="0"/>
        <w:pageBreakBefore w:val="0"/>
        <w:widowControl/>
        <w:kinsoku w:val="0"/>
        <w:wordWrap/>
        <w:overflowPunct/>
        <w:topLinePunct w:val="0"/>
        <w:autoSpaceDE w:val="0"/>
        <w:autoSpaceDN w:val="0"/>
        <w:bidi w:val="0"/>
        <w:adjustRightInd w:val="0"/>
        <w:snapToGrid w:val="0"/>
        <w:spacing w:line="560" w:lineRule="exact"/>
        <w:ind w:left="0" w:leftChars="0" w:firstLine="640" w:firstLineChars="200"/>
        <w:textAlignment w:val="baseline"/>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color w:val="000000" w:themeColor="text1"/>
          <w:sz w:val="32"/>
          <w:szCs w:val="32"/>
          <w:lang w:eastAsia="zh-CN"/>
          <w14:textFill>
            <w14:solidFill>
              <w14:schemeClr w14:val="tx1"/>
            </w14:solidFill>
          </w14:textFill>
        </w:rPr>
        <w:t>根据《教育部办公厅 最高人民法院办公厅 最高人民检察院办公厅 公安部办公厅 司法部办公厅关于举办第十一届全国学生“学宪法 讲宪法”活动的通知》（教政法厅函〔2026〕2号），教育部全国青少年普法网（下称青少年普法网，qspfw.moe.gov.cn）开设“我与法治”专栏，有关事宜通知如下。</w:t>
      </w:r>
    </w:p>
    <w:p w14:paraId="3D5AED0D">
      <w:pPr>
        <w:pStyle w:val="18"/>
        <w:keepNext w:val="0"/>
        <w:keepLines w:val="0"/>
        <w:pageBreakBefore w:val="0"/>
        <w:widowControl/>
        <w:kinsoku w:val="0"/>
        <w:wordWrap/>
        <w:overflowPunct/>
        <w:topLinePunct w:val="0"/>
        <w:autoSpaceDE w:val="0"/>
        <w:autoSpaceDN w:val="0"/>
        <w:bidi w:val="0"/>
        <w:adjustRightInd w:val="0"/>
        <w:snapToGrid w:val="0"/>
        <w:spacing w:line="560" w:lineRule="exact"/>
        <w:ind w:left="0" w:leftChars="0" w:firstLine="640" w:firstLineChars="200"/>
        <w:textAlignment w:val="baseline"/>
        <w:rPr>
          <w:rFonts w:hint="eastAsia" w:ascii="黑体" w:hAnsi="黑体" w:eastAsia="黑体" w:cs="黑体"/>
          <w:color w:val="000000" w:themeColor="text1"/>
          <w:sz w:val="32"/>
          <w:szCs w:val="32"/>
          <w:lang w:eastAsia="zh-CN"/>
          <w14:textFill>
            <w14:solidFill>
              <w14:schemeClr w14:val="tx1"/>
            </w14:solidFill>
          </w14:textFill>
        </w:rPr>
      </w:pPr>
      <w:r>
        <w:rPr>
          <w:rFonts w:hint="eastAsia" w:ascii="黑体" w:hAnsi="黑体" w:eastAsia="黑体" w:cs="黑体"/>
          <w:color w:val="000000" w:themeColor="text1"/>
          <w:sz w:val="32"/>
          <w:szCs w:val="32"/>
          <w:lang w:eastAsia="zh-CN"/>
          <w14:textFill>
            <w14:solidFill>
              <w14:schemeClr w14:val="tx1"/>
            </w14:solidFill>
          </w14:textFill>
        </w:rPr>
        <w:t>一、时间安排</w:t>
      </w:r>
    </w:p>
    <w:p w14:paraId="48E4DC7C">
      <w:pPr>
        <w:pStyle w:val="18"/>
        <w:keepNext w:val="0"/>
        <w:keepLines w:val="0"/>
        <w:pageBreakBefore w:val="0"/>
        <w:widowControl/>
        <w:kinsoku w:val="0"/>
        <w:wordWrap/>
        <w:overflowPunct/>
        <w:topLinePunct w:val="0"/>
        <w:autoSpaceDE w:val="0"/>
        <w:autoSpaceDN w:val="0"/>
        <w:bidi w:val="0"/>
        <w:adjustRightInd w:val="0"/>
        <w:snapToGrid w:val="0"/>
        <w:spacing w:line="560" w:lineRule="exact"/>
        <w:ind w:left="0" w:leftChars="0" w:firstLine="640" w:firstLineChars="200"/>
        <w:textAlignment w:val="baseline"/>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color w:val="000000" w:themeColor="text1"/>
          <w:sz w:val="32"/>
          <w:szCs w:val="32"/>
          <w:lang w:eastAsia="zh-CN"/>
          <w14:textFill>
            <w14:solidFill>
              <w14:schemeClr w14:val="tx1"/>
            </w14:solidFill>
          </w14:textFill>
        </w:rPr>
        <w:t>1.作品上传：2026年6月9日至2026年10月12日。</w:t>
      </w:r>
    </w:p>
    <w:p w14:paraId="5ED0A64E">
      <w:pPr>
        <w:pStyle w:val="18"/>
        <w:keepNext w:val="0"/>
        <w:keepLines w:val="0"/>
        <w:pageBreakBefore w:val="0"/>
        <w:widowControl/>
        <w:kinsoku w:val="0"/>
        <w:wordWrap/>
        <w:overflowPunct/>
        <w:topLinePunct w:val="0"/>
        <w:autoSpaceDE w:val="0"/>
        <w:autoSpaceDN w:val="0"/>
        <w:bidi w:val="0"/>
        <w:adjustRightInd w:val="0"/>
        <w:snapToGrid w:val="0"/>
        <w:spacing w:line="560" w:lineRule="exact"/>
        <w:ind w:left="0" w:leftChars="0" w:firstLine="640" w:firstLineChars="200"/>
        <w:textAlignment w:val="baseline"/>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color w:val="000000" w:themeColor="text1"/>
          <w:sz w:val="32"/>
          <w:szCs w:val="32"/>
          <w:lang w:eastAsia="zh-CN"/>
          <w14:textFill>
            <w14:solidFill>
              <w14:schemeClr w14:val="tx1"/>
            </w14:solidFill>
          </w14:textFill>
        </w:rPr>
        <w:t>2.作品展播：2026年7月起，经青少年普法网审核采用的作品将陆续在活动专栏展播，并择优在中国教育报《教育法治》周刊刊登。</w:t>
      </w:r>
    </w:p>
    <w:p w14:paraId="04B11568">
      <w:pPr>
        <w:pStyle w:val="18"/>
        <w:keepNext w:val="0"/>
        <w:keepLines w:val="0"/>
        <w:pageBreakBefore w:val="0"/>
        <w:widowControl/>
        <w:kinsoku w:val="0"/>
        <w:wordWrap/>
        <w:overflowPunct/>
        <w:topLinePunct w:val="0"/>
        <w:autoSpaceDE w:val="0"/>
        <w:autoSpaceDN w:val="0"/>
        <w:bidi w:val="0"/>
        <w:adjustRightInd w:val="0"/>
        <w:snapToGrid w:val="0"/>
        <w:spacing w:line="560" w:lineRule="exact"/>
        <w:ind w:left="0" w:leftChars="0" w:firstLine="640" w:firstLineChars="200"/>
        <w:textAlignment w:val="baseline"/>
        <w:rPr>
          <w:rFonts w:hint="eastAsia" w:ascii="黑体" w:hAnsi="黑体" w:eastAsia="黑体" w:cs="黑体"/>
          <w:color w:val="000000" w:themeColor="text1"/>
          <w:sz w:val="32"/>
          <w:szCs w:val="32"/>
          <w:lang w:eastAsia="zh-CN"/>
          <w14:textFill>
            <w14:solidFill>
              <w14:schemeClr w14:val="tx1"/>
            </w14:solidFill>
          </w14:textFill>
        </w:rPr>
      </w:pPr>
      <w:r>
        <w:rPr>
          <w:rFonts w:hint="eastAsia" w:ascii="黑体" w:hAnsi="黑体" w:eastAsia="黑体" w:cs="黑体"/>
          <w:color w:val="000000" w:themeColor="text1"/>
          <w:sz w:val="32"/>
          <w:szCs w:val="32"/>
          <w:lang w:eastAsia="zh-CN"/>
          <w14:textFill>
            <w14:solidFill>
              <w14:schemeClr w14:val="tx1"/>
            </w14:solidFill>
          </w14:textFill>
        </w:rPr>
        <w:t>二、内容要求</w:t>
      </w:r>
    </w:p>
    <w:p w14:paraId="5E1E8679">
      <w:pPr>
        <w:pStyle w:val="18"/>
        <w:keepNext w:val="0"/>
        <w:keepLines w:val="0"/>
        <w:pageBreakBefore w:val="0"/>
        <w:widowControl/>
        <w:kinsoku w:val="0"/>
        <w:wordWrap/>
        <w:overflowPunct/>
        <w:topLinePunct w:val="0"/>
        <w:autoSpaceDE w:val="0"/>
        <w:autoSpaceDN w:val="0"/>
        <w:bidi w:val="0"/>
        <w:adjustRightInd w:val="0"/>
        <w:snapToGrid w:val="0"/>
        <w:spacing w:line="560" w:lineRule="exact"/>
        <w:ind w:left="0" w:leftChars="0" w:firstLine="640" w:firstLineChars="200"/>
        <w:textAlignment w:val="baseline"/>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color w:val="000000" w:themeColor="text1"/>
          <w:sz w:val="32"/>
          <w:szCs w:val="32"/>
          <w:lang w:eastAsia="zh-CN"/>
          <w14:textFill>
            <w14:solidFill>
              <w14:schemeClr w14:val="tx1"/>
            </w14:solidFill>
          </w14:textFill>
        </w:rPr>
        <w:t>面向教育系统师生、校长以及中小学法治副校长征集关于在学习成长、教育教学、依法治校、工作实践过程中学习法律知识、宣传法治文化、践行法治精神的生动故事。作品须聚焦“我与法治”主题，符合国家法律法规和政策规定，内容真实、积极向上。内容包括但不限于：</w:t>
      </w:r>
    </w:p>
    <w:p w14:paraId="268E77E7">
      <w:pPr>
        <w:pStyle w:val="18"/>
        <w:keepNext w:val="0"/>
        <w:keepLines w:val="0"/>
        <w:pageBreakBefore w:val="0"/>
        <w:widowControl/>
        <w:kinsoku w:val="0"/>
        <w:wordWrap/>
        <w:overflowPunct/>
        <w:topLinePunct w:val="0"/>
        <w:autoSpaceDE w:val="0"/>
        <w:autoSpaceDN w:val="0"/>
        <w:bidi w:val="0"/>
        <w:adjustRightInd w:val="0"/>
        <w:snapToGrid w:val="0"/>
        <w:spacing w:line="560" w:lineRule="exact"/>
        <w:ind w:left="0" w:leftChars="0" w:firstLine="640" w:firstLineChars="200"/>
        <w:textAlignment w:val="baseline"/>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color w:val="000000" w:themeColor="text1"/>
          <w:sz w:val="32"/>
          <w:szCs w:val="32"/>
          <w:lang w:eastAsia="zh-CN"/>
          <w14:textFill>
            <w14:solidFill>
              <w14:schemeClr w14:val="tx1"/>
            </w14:solidFill>
          </w14:textFill>
        </w:rPr>
        <w:t>（一）学生组（500—2000字）。学习宪法法律知识的心得体会与成长感悟；参与“学宪法 讲宪法”活动、法治讲座、模拟法庭、法治社会实践等活动的经历与收获；运用法治思维、法律知识维护自身或他人合法权益，解决学习生活中实际问题的真实案例；在日常生活中自觉遵守法律法规、校纪校规，践行社会主义核心价值观的生动故事等。</w:t>
      </w:r>
    </w:p>
    <w:p w14:paraId="389F8807">
      <w:pPr>
        <w:pStyle w:val="18"/>
        <w:keepNext w:val="0"/>
        <w:keepLines w:val="0"/>
        <w:pageBreakBefore w:val="0"/>
        <w:widowControl/>
        <w:kinsoku w:val="0"/>
        <w:wordWrap/>
        <w:overflowPunct/>
        <w:topLinePunct w:val="0"/>
        <w:autoSpaceDE w:val="0"/>
        <w:autoSpaceDN w:val="0"/>
        <w:bidi w:val="0"/>
        <w:adjustRightInd w:val="0"/>
        <w:snapToGrid w:val="0"/>
        <w:spacing w:line="560" w:lineRule="exact"/>
        <w:ind w:left="0" w:leftChars="0" w:firstLine="640" w:firstLineChars="200"/>
        <w:textAlignment w:val="baseline"/>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color w:val="000000" w:themeColor="text1"/>
          <w:sz w:val="32"/>
          <w:szCs w:val="32"/>
          <w:lang w:eastAsia="zh-CN"/>
          <w14:textFill>
            <w14:solidFill>
              <w14:schemeClr w14:val="tx1"/>
            </w14:solidFill>
          </w14:textFill>
        </w:rPr>
        <w:t>（二）教师组（含专任教师和普通教职工，1000—3000字）。开展法治教育教学的创新方法、典型案例与心得体会；遵循教育规律，结合学生年龄特点实际，将社会主义法治理念融入教育教学实践的创新做法与成效；指导学生参与“学宪法 讲宪法”活动或其他法治实践活动的工作案例与经验总结；将法治教育融入学科教学、班级管理、校园文化建设等学校教育管理各方面的实践探索与成效；自觉尊法学法守法用法，做学生法治素养的培育者、校园法治建设的推动者的故事等。</w:t>
      </w:r>
    </w:p>
    <w:p w14:paraId="3F05BED7">
      <w:pPr>
        <w:pStyle w:val="18"/>
        <w:keepNext w:val="0"/>
        <w:keepLines w:val="0"/>
        <w:pageBreakBefore w:val="0"/>
        <w:widowControl/>
        <w:kinsoku w:val="0"/>
        <w:wordWrap/>
        <w:overflowPunct/>
        <w:topLinePunct w:val="0"/>
        <w:autoSpaceDE w:val="0"/>
        <w:autoSpaceDN w:val="0"/>
        <w:bidi w:val="0"/>
        <w:adjustRightInd w:val="0"/>
        <w:snapToGrid w:val="0"/>
        <w:spacing w:line="560" w:lineRule="exact"/>
        <w:ind w:left="0" w:leftChars="0" w:firstLine="640" w:firstLineChars="200"/>
        <w:textAlignment w:val="baseline"/>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color w:val="000000" w:themeColor="text1"/>
          <w:sz w:val="32"/>
          <w:szCs w:val="32"/>
          <w:lang w:eastAsia="zh-CN"/>
          <w14:textFill>
            <w14:solidFill>
              <w14:schemeClr w14:val="tx1"/>
            </w14:solidFill>
          </w14:textFill>
        </w:rPr>
        <w:t>（三）校长组（含分管法治工作的校领导，1000—3000字）。带领学校开展依法治校工作的实践成效；将法治理念融入学校发展规划、章程制度、管理决策与文化建设的具体案例；组织并推动“学宪法 讲宪法”活动及其他法治教育实践活动经验总结；处理涉校纠纷、维护师生合法权益、保障校园安全稳定的典型事例；以身作则，提升自身及学校管理团队的法治素养，引领构建具有法治精神的校园生态的故事等。</w:t>
      </w:r>
    </w:p>
    <w:p w14:paraId="5BA7F644">
      <w:pPr>
        <w:pStyle w:val="18"/>
        <w:keepNext w:val="0"/>
        <w:keepLines w:val="0"/>
        <w:pageBreakBefore w:val="0"/>
        <w:widowControl/>
        <w:kinsoku w:val="0"/>
        <w:wordWrap/>
        <w:overflowPunct/>
        <w:topLinePunct w:val="0"/>
        <w:autoSpaceDE w:val="0"/>
        <w:autoSpaceDN w:val="0"/>
        <w:bidi w:val="0"/>
        <w:adjustRightInd w:val="0"/>
        <w:snapToGrid w:val="0"/>
        <w:spacing w:line="560" w:lineRule="exact"/>
        <w:ind w:left="0" w:leftChars="0" w:firstLine="640" w:firstLineChars="200"/>
        <w:textAlignment w:val="baseline"/>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color w:val="000000" w:themeColor="text1"/>
          <w:sz w:val="32"/>
          <w:szCs w:val="32"/>
          <w:lang w:eastAsia="zh-CN"/>
          <w14:textFill>
            <w14:solidFill>
              <w14:schemeClr w14:val="tx1"/>
            </w14:solidFill>
          </w14:textFill>
        </w:rPr>
        <w:t>（四）法治副校长组（1000—3000字）。履行法治副校长职责，深入支持学校开展法治宣传教育、参与校园治理、保护学生权益的典型案例与实践经验；为师生开展法治讲座、案例教学、情景模拟等活动的生动故事；指导学校开展预防未成年人犯罪教育，对不良行为学生进行训诫或者矫治教育的案例与思考；参与完善校园安全管理制度，协助健全安全事故预防与处置，调解纠纷、制止侵权行为的实践故事；协助学校健全校规校纪与规章制度，处理涉法涉诉案件，推动依法治校的工作实例等。</w:t>
      </w:r>
    </w:p>
    <w:p w14:paraId="21D4AAA4">
      <w:pPr>
        <w:pStyle w:val="18"/>
        <w:keepNext w:val="0"/>
        <w:keepLines w:val="0"/>
        <w:pageBreakBefore w:val="0"/>
        <w:widowControl/>
        <w:kinsoku w:val="0"/>
        <w:wordWrap/>
        <w:overflowPunct/>
        <w:topLinePunct w:val="0"/>
        <w:autoSpaceDE w:val="0"/>
        <w:autoSpaceDN w:val="0"/>
        <w:bidi w:val="0"/>
        <w:adjustRightInd w:val="0"/>
        <w:snapToGrid w:val="0"/>
        <w:spacing w:line="560" w:lineRule="exact"/>
        <w:ind w:left="0" w:leftChars="0" w:firstLine="640" w:firstLineChars="200"/>
        <w:textAlignment w:val="baseline"/>
        <w:rPr>
          <w:rFonts w:hint="eastAsia" w:ascii="黑体" w:hAnsi="黑体" w:eastAsia="黑体" w:cs="黑体"/>
          <w:color w:val="000000" w:themeColor="text1"/>
          <w:sz w:val="32"/>
          <w:szCs w:val="32"/>
          <w:lang w:eastAsia="zh-CN"/>
          <w14:textFill>
            <w14:solidFill>
              <w14:schemeClr w14:val="tx1"/>
            </w14:solidFill>
          </w14:textFill>
        </w:rPr>
      </w:pPr>
      <w:r>
        <w:rPr>
          <w:rFonts w:hint="eastAsia" w:ascii="黑体" w:hAnsi="黑体" w:eastAsia="黑体" w:cs="黑体"/>
          <w:color w:val="000000" w:themeColor="text1"/>
          <w:sz w:val="32"/>
          <w:szCs w:val="32"/>
          <w:lang w:eastAsia="zh-CN"/>
          <w14:textFill>
            <w14:solidFill>
              <w14:schemeClr w14:val="tx1"/>
            </w14:solidFill>
          </w14:textFill>
        </w:rPr>
        <w:t>三、作品形式与报送方式</w:t>
      </w:r>
    </w:p>
    <w:p w14:paraId="2E9FCF6D">
      <w:pPr>
        <w:pStyle w:val="18"/>
        <w:keepNext w:val="0"/>
        <w:keepLines w:val="0"/>
        <w:pageBreakBefore w:val="0"/>
        <w:widowControl/>
        <w:kinsoku w:val="0"/>
        <w:wordWrap/>
        <w:overflowPunct/>
        <w:topLinePunct w:val="0"/>
        <w:autoSpaceDE w:val="0"/>
        <w:autoSpaceDN w:val="0"/>
        <w:bidi w:val="0"/>
        <w:adjustRightInd w:val="0"/>
        <w:snapToGrid w:val="0"/>
        <w:spacing w:line="560" w:lineRule="exact"/>
        <w:ind w:left="0" w:leftChars="0" w:firstLine="640" w:firstLineChars="200"/>
        <w:textAlignment w:val="baseline"/>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color w:val="000000" w:themeColor="text1"/>
          <w:sz w:val="32"/>
          <w:szCs w:val="32"/>
          <w:lang w:eastAsia="zh-CN"/>
          <w14:textFill>
            <w14:solidFill>
              <w14:schemeClr w14:val="tx1"/>
            </w14:solidFill>
          </w14:textFill>
        </w:rPr>
        <w:t>（一）作品形式。文章体裁不限，需图文并茂，配故事相关清晰图片2至5张（单张大小500KB以内），并附150字以内的内容简介和1张封面图（横版，500KB以内）。报送时需填写作者姓名、所在单位等基本信息。</w:t>
      </w:r>
    </w:p>
    <w:p w14:paraId="7A247581">
      <w:pPr>
        <w:pStyle w:val="18"/>
        <w:keepNext w:val="0"/>
        <w:keepLines w:val="0"/>
        <w:pageBreakBefore w:val="0"/>
        <w:widowControl/>
        <w:kinsoku w:val="0"/>
        <w:wordWrap/>
        <w:overflowPunct/>
        <w:topLinePunct w:val="0"/>
        <w:autoSpaceDE w:val="0"/>
        <w:autoSpaceDN w:val="0"/>
        <w:bidi w:val="0"/>
        <w:adjustRightInd w:val="0"/>
        <w:snapToGrid w:val="0"/>
        <w:spacing w:line="560" w:lineRule="exact"/>
        <w:ind w:left="0" w:leftChars="0" w:firstLine="640" w:firstLineChars="200"/>
        <w:textAlignment w:val="baseline"/>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color w:val="000000" w:themeColor="text1"/>
          <w:sz w:val="32"/>
          <w:szCs w:val="32"/>
          <w:lang w:eastAsia="zh-CN"/>
          <w14:textFill>
            <w14:solidFill>
              <w14:schemeClr w14:val="tx1"/>
            </w14:solidFill>
          </w14:textFill>
        </w:rPr>
        <w:t>（二）自主报送。作品统一由已在青少年普法网注册的学校管理员、校区管理员或者教育行政部门管理员，通过青少年普法网管理服务云平台报送。</w:t>
      </w:r>
    </w:p>
    <w:p w14:paraId="548AB7CF">
      <w:pPr>
        <w:pStyle w:val="18"/>
        <w:keepNext w:val="0"/>
        <w:keepLines w:val="0"/>
        <w:pageBreakBefore w:val="0"/>
        <w:widowControl/>
        <w:kinsoku w:val="0"/>
        <w:wordWrap/>
        <w:overflowPunct/>
        <w:topLinePunct w:val="0"/>
        <w:autoSpaceDE w:val="0"/>
        <w:autoSpaceDN w:val="0"/>
        <w:bidi w:val="0"/>
        <w:adjustRightInd w:val="0"/>
        <w:snapToGrid w:val="0"/>
        <w:spacing w:line="560" w:lineRule="exact"/>
        <w:ind w:left="0" w:leftChars="0" w:firstLine="640" w:firstLineChars="200"/>
        <w:textAlignment w:val="baseline"/>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color w:val="000000" w:themeColor="text1"/>
          <w:sz w:val="32"/>
          <w:szCs w:val="32"/>
          <w:lang w:eastAsia="zh-CN"/>
          <w14:textFill>
            <w14:solidFill>
              <w14:schemeClr w14:val="tx1"/>
            </w14:solidFill>
          </w14:textFill>
        </w:rPr>
        <w:t>（三）省级推荐。各省级教育行政部门应分别推荐学生、教师、校长、法治副校长各1—3人，作为地方典型故事。</w:t>
      </w:r>
    </w:p>
    <w:p w14:paraId="33F4A90C">
      <w:pPr>
        <w:pStyle w:val="18"/>
        <w:keepNext w:val="0"/>
        <w:keepLines w:val="0"/>
        <w:pageBreakBefore w:val="0"/>
        <w:widowControl/>
        <w:kinsoku w:val="0"/>
        <w:wordWrap/>
        <w:overflowPunct/>
        <w:topLinePunct w:val="0"/>
        <w:autoSpaceDE w:val="0"/>
        <w:autoSpaceDN w:val="0"/>
        <w:bidi w:val="0"/>
        <w:adjustRightInd w:val="0"/>
        <w:snapToGrid w:val="0"/>
        <w:spacing w:line="560" w:lineRule="exact"/>
        <w:ind w:left="0" w:leftChars="0" w:firstLine="640" w:firstLineChars="200"/>
        <w:textAlignment w:val="baseline"/>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color w:val="000000" w:themeColor="text1"/>
          <w:sz w:val="32"/>
          <w:szCs w:val="32"/>
          <w:lang w:eastAsia="zh-CN"/>
          <w14:textFill>
            <w14:solidFill>
              <w14:schemeClr w14:val="tx1"/>
            </w14:solidFill>
          </w14:textFill>
        </w:rPr>
        <w:t>（四）其他事项。参与活动的作品应是2026年完成的原创作品，作者对作品须拥有完整知识产权，不得抄袭、模仿，一经查实，将取消参与资格。投稿作品即默认授权主办方拥有本次活动所形成的文字、图片、音像等作品在纸媒宣传、广播电视、云平台等全媒体渠道的播放权，以及展示、出版、发行的权利。主办方同时拥有在相关非营利性公益活动中无偿使用作品各类资料的权利。</w:t>
      </w:r>
    </w:p>
    <w:p w14:paraId="5D0AFF38">
      <w:pPr>
        <w:pStyle w:val="18"/>
        <w:keepNext w:val="0"/>
        <w:keepLines w:val="0"/>
        <w:pageBreakBefore w:val="0"/>
        <w:widowControl/>
        <w:kinsoku w:val="0"/>
        <w:wordWrap/>
        <w:overflowPunct/>
        <w:topLinePunct w:val="0"/>
        <w:autoSpaceDE w:val="0"/>
        <w:autoSpaceDN w:val="0"/>
        <w:bidi w:val="0"/>
        <w:adjustRightInd w:val="0"/>
        <w:snapToGrid w:val="0"/>
        <w:spacing w:line="560" w:lineRule="exact"/>
        <w:ind w:left="0" w:leftChars="0" w:firstLine="640" w:firstLineChars="200"/>
        <w:textAlignment w:val="baseline"/>
        <w:rPr>
          <w:rFonts w:hint="eastAsia" w:ascii="仿宋_GB2312" w:hAnsi="仿宋_GB2312" w:eastAsia="仿宋_GB2312" w:cs="仿宋_GB2312"/>
          <w:color w:val="000000" w:themeColor="text1"/>
          <w:sz w:val="32"/>
          <w:szCs w:val="32"/>
          <w:lang w:eastAsia="zh-CN"/>
          <w14:textFill>
            <w14:solidFill>
              <w14:schemeClr w14:val="tx1"/>
            </w14:solidFill>
          </w14:textFill>
        </w:rPr>
      </w:pPr>
    </w:p>
    <w:p w14:paraId="275E6B68">
      <w:pPr>
        <w:pStyle w:val="18"/>
        <w:keepNext w:val="0"/>
        <w:keepLines w:val="0"/>
        <w:pageBreakBefore w:val="0"/>
        <w:widowControl/>
        <w:kinsoku w:val="0"/>
        <w:wordWrap/>
        <w:overflowPunct/>
        <w:topLinePunct w:val="0"/>
        <w:autoSpaceDE w:val="0"/>
        <w:autoSpaceDN w:val="0"/>
        <w:bidi w:val="0"/>
        <w:adjustRightInd w:val="0"/>
        <w:snapToGrid w:val="0"/>
        <w:spacing w:line="560" w:lineRule="exact"/>
        <w:ind w:left="0" w:leftChars="0" w:firstLine="640" w:firstLineChars="200"/>
        <w:textAlignment w:val="baseline"/>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color w:val="000000" w:themeColor="text1"/>
          <w:sz w:val="32"/>
          <w:szCs w:val="32"/>
          <w:lang w:eastAsia="zh-CN"/>
          <w14:textFill>
            <w14:solidFill>
              <w14:schemeClr w14:val="tx1"/>
            </w14:solidFill>
          </w14:textFill>
        </w:rPr>
        <w:t>联系方式：</w:t>
      </w:r>
    </w:p>
    <w:p w14:paraId="09EA1BFF">
      <w:pPr>
        <w:pStyle w:val="18"/>
        <w:keepNext w:val="0"/>
        <w:keepLines w:val="0"/>
        <w:pageBreakBefore w:val="0"/>
        <w:widowControl/>
        <w:kinsoku w:val="0"/>
        <w:wordWrap/>
        <w:overflowPunct/>
        <w:topLinePunct w:val="0"/>
        <w:autoSpaceDE w:val="0"/>
        <w:autoSpaceDN w:val="0"/>
        <w:bidi w:val="0"/>
        <w:adjustRightInd w:val="0"/>
        <w:snapToGrid w:val="0"/>
        <w:spacing w:line="560" w:lineRule="exact"/>
        <w:ind w:left="0" w:leftChars="0" w:firstLine="640" w:firstLineChars="200"/>
        <w:textAlignment w:val="baseline"/>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color w:val="000000" w:themeColor="text1"/>
          <w:sz w:val="32"/>
          <w:szCs w:val="32"/>
          <w:lang w:eastAsia="zh-CN"/>
          <w14:textFill>
            <w14:solidFill>
              <w14:schemeClr w14:val="tx1"/>
            </w14:solidFill>
          </w14:textFill>
        </w:rPr>
        <w:t>　　教育部全国青少年普法网</w:t>
      </w:r>
    </w:p>
    <w:p w14:paraId="47B786EF">
      <w:pPr>
        <w:pStyle w:val="18"/>
        <w:keepNext w:val="0"/>
        <w:keepLines w:val="0"/>
        <w:pageBreakBefore w:val="0"/>
        <w:widowControl/>
        <w:kinsoku w:val="0"/>
        <w:wordWrap/>
        <w:overflowPunct/>
        <w:topLinePunct w:val="0"/>
        <w:autoSpaceDE w:val="0"/>
        <w:autoSpaceDN w:val="0"/>
        <w:bidi w:val="0"/>
        <w:adjustRightInd w:val="0"/>
        <w:snapToGrid w:val="0"/>
        <w:spacing w:line="560" w:lineRule="exact"/>
        <w:ind w:left="0" w:leftChars="0" w:firstLine="640" w:firstLineChars="200"/>
        <w:textAlignment w:val="baseline"/>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color w:val="000000" w:themeColor="text1"/>
          <w:sz w:val="32"/>
          <w:szCs w:val="32"/>
          <w:lang w:eastAsia="zh-CN"/>
          <w14:textFill>
            <w14:solidFill>
              <w14:schemeClr w14:val="tx1"/>
            </w14:solidFill>
          </w14:textFill>
        </w:rPr>
        <w:t>　　活动统筹：010-88819626</w:t>
      </w:r>
    </w:p>
    <w:p w14:paraId="75E39120">
      <w:pPr>
        <w:pStyle w:val="18"/>
        <w:keepNext w:val="0"/>
        <w:keepLines w:val="0"/>
        <w:pageBreakBefore w:val="0"/>
        <w:widowControl/>
        <w:kinsoku w:val="0"/>
        <w:wordWrap/>
        <w:overflowPunct/>
        <w:topLinePunct w:val="0"/>
        <w:autoSpaceDE w:val="0"/>
        <w:autoSpaceDN w:val="0"/>
        <w:bidi w:val="0"/>
        <w:adjustRightInd w:val="0"/>
        <w:snapToGrid w:val="0"/>
        <w:spacing w:line="560" w:lineRule="exact"/>
        <w:ind w:left="0" w:leftChars="0" w:firstLine="640" w:firstLineChars="200"/>
        <w:textAlignment w:val="baseline"/>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color w:val="000000" w:themeColor="text1"/>
          <w:sz w:val="32"/>
          <w:szCs w:val="32"/>
          <w:lang w:eastAsia="zh-CN"/>
          <w14:textFill>
            <w14:solidFill>
              <w14:schemeClr w14:val="tx1"/>
            </w14:solidFill>
          </w14:textFill>
        </w:rPr>
        <w:t>　　用户支持与新闻报送：010-88819614、88819617</w:t>
      </w:r>
    </w:p>
    <w:p w14:paraId="19B62594">
      <w:pPr>
        <w:pStyle w:val="18"/>
        <w:keepNext w:val="0"/>
        <w:keepLines w:val="0"/>
        <w:pageBreakBefore w:val="0"/>
        <w:widowControl/>
        <w:kinsoku w:val="0"/>
        <w:wordWrap/>
        <w:overflowPunct/>
        <w:topLinePunct w:val="0"/>
        <w:autoSpaceDE w:val="0"/>
        <w:autoSpaceDN w:val="0"/>
        <w:bidi w:val="0"/>
        <w:adjustRightInd w:val="0"/>
        <w:snapToGrid w:val="0"/>
        <w:spacing w:line="560" w:lineRule="exact"/>
        <w:ind w:left="0" w:leftChars="0" w:firstLine="0" w:firstLineChars="0"/>
        <w:textAlignment w:val="baseline"/>
        <w:rPr>
          <w:rFonts w:hint="eastAsia" w:ascii="仿宋_GB2312" w:hAnsi="仿宋_GB2312" w:eastAsia="仿宋_GB2312" w:cs="仿宋_GB2312"/>
          <w:color w:val="000000" w:themeColor="text1"/>
          <w:sz w:val="32"/>
          <w:szCs w:val="32"/>
          <w:lang w:eastAsia="zh-CN"/>
          <w14:textFill>
            <w14:solidFill>
              <w14:schemeClr w14:val="tx1"/>
            </w14:solidFill>
          </w14:textFill>
        </w:rPr>
      </w:pPr>
    </w:p>
    <w:p w14:paraId="328A5701">
      <w:pPr>
        <w:pStyle w:val="18"/>
        <w:keepNext w:val="0"/>
        <w:keepLines w:val="0"/>
        <w:pageBreakBefore w:val="0"/>
        <w:widowControl/>
        <w:kinsoku w:val="0"/>
        <w:wordWrap/>
        <w:overflowPunct/>
        <w:topLinePunct w:val="0"/>
        <w:autoSpaceDE w:val="0"/>
        <w:autoSpaceDN w:val="0"/>
        <w:bidi w:val="0"/>
        <w:adjustRightInd w:val="0"/>
        <w:snapToGrid w:val="0"/>
        <w:spacing w:line="560" w:lineRule="exact"/>
        <w:ind w:left="0" w:leftChars="0" w:firstLine="0" w:firstLineChars="0"/>
        <w:jc w:val="right"/>
        <w:textAlignment w:val="baseline"/>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color w:val="000000" w:themeColor="text1"/>
          <w:sz w:val="32"/>
          <w:szCs w:val="32"/>
          <w:lang w:eastAsia="zh-CN"/>
          <w14:textFill>
            <w14:solidFill>
              <w14:schemeClr w14:val="tx1"/>
            </w14:solidFill>
          </w14:textFill>
        </w:rPr>
        <w:t>教育部全国青少年普法网</w:t>
      </w:r>
    </w:p>
    <w:p w14:paraId="4E324C47">
      <w:pPr>
        <w:pStyle w:val="18"/>
        <w:keepNext w:val="0"/>
        <w:keepLines w:val="0"/>
        <w:pageBreakBefore w:val="0"/>
        <w:widowControl/>
        <w:kinsoku w:val="0"/>
        <w:wordWrap/>
        <w:overflowPunct/>
        <w:topLinePunct w:val="0"/>
        <w:autoSpaceDE w:val="0"/>
        <w:autoSpaceDN w:val="0"/>
        <w:bidi w:val="0"/>
        <w:adjustRightInd w:val="0"/>
        <w:snapToGrid w:val="0"/>
        <w:spacing w:line="560" w:lineRule="exact"/>
        <w:ind w:left="0" w:leftChars="0" w:firstLine="0" w:firstLineChars="0"/>
        <w:jc w:val="center"/>
        <w:textAlignment w:val="baseline"/>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z w:val="32"/>
          <w:szCs w:val="32"/>
          <w:lang w:eastAsia="zh-CN"/>
          <w14:textFill>
            <w14:solidFill>
              <w14:schemeClr w14:val="tx1"/>
            </w14:solidFill>
          </w14:textFill>
        </w:rPr>
        <w:t xml:space="preserve"> 2026年6月5日</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8E8EAB05-5F59-4564-B4D8-AA6663A75228}"/>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仿宋_GB2312">
    <w:panose1 w:val="02000000000000000000"/>
    <w:charset w:val="86"/>
    <w:family w:val="auto"/>
    <w:pitch w:val="default"/>
    <w:sig w:usb0="A00002BF" w:usb1="184F6CFA" w:usb2="00000012" w:usb3="00000000" w:csb0="00040001" w:csb1="00000000"/>
  </w:font>
  <w:font w:name="方正粗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embedRegular r:id="rId2" w:fontKey="{AC45761E-37D6-4034-BE64-024695EF34FF}"/>
  </w:font>
  <w:font w:name="仿宋">
    <w:panose1 w:val="02010609060101010101"/>
    <w:charset w:val="86"/>
    <w:family w:val="modern"/>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 w:name="方正小标宋简体">
    <w:panose1 w:val="03000509000000000000"/>
    <w:charset w:val="86"/>
    <w:family w:val="script"/>
    <w:pitch w:val="default"/>
    <w:sig w:usb0="00000001" w:usb1="080E0000" w:usb2="00000000" w:usb3="00000000" w:csb0="00040000" w:csb1="00000000"/>
    <w:embedRegular r:id="rId3" w:fontKey="{804DE0AC-E81E-48B5-9E03-C76BC14E2012}"/>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Style w:val="10"/>
      </w:rPr>
      <w:id w:val="1126049290"/>
    </w:sdtPr>
    <w:sdtEndPr>
      <w:rPr>
        <w:rStyle w:val="10"/>
      </w:rPr>
    </w:sdtEndPr>
    <w:sdtContent>
      <w:p w14:paraId="24B4E834">
        <w:pPr>
          <w:pStyle w:val="5"/>
          <w:framePr w:wrap="auto" w:vAnchor="text" w:hAnchor="margin" w:xAlign="center" w:y="1"/>
          <w:rPr>
            <w:rStyle w:val="10"/>
          </w:rPr>
        </w:pPr>
        <w:r>
          <w:rPr>
            <w:rStyle w:val="10"/>
          </w:rPr>
          <w:fldChar w:fldCharType="begin"/>
        </w:r>
        <w:r>
          <w:rPr>
            <w:rStyle w:val="10"/>
          </w:rPr>
          <w:instrText xml:space="preserve"> PAGE </w:instrText>
        </w:r>
        <w:r>
          <w:rPr>
            <w:rStyle w:val="10"/>
          </w:rPr>
          <w:fldChar w:fldCharType="separate"/>
        </w:r>
        <w:r>
          <w:rPr>
            <w:rStyle w:val="10"/>
          </w:rPr>
          <w:t>5</w:t>
        </w:r>
        <w:r>
          <w:rPr>
            <w:rStyle w:val="10"/>
          </w:rPr>
          <w:fldChar w:fldCharType="end"/>
        </w:r>
      </w:p>
    </w:sdtContent>
  </w:sdt>
  <w:p w14:paraId="2C258652">
    <w:pPr>
      <w:spacing w:line="264" w:lineRule="exact"/>
      <w:ind w:left="4202"/>
      <w:rPr>
        <w:rFonts w:ascii="Times New Roman" w:hAnsi="Times New Roman" w:eastAsia="Times New Roman" w:cs="Times New Roman"/>
        <w:sz w:val="20"/>
        <w:szCs w:val="20"/>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2529"/>
    <w:rsid w:val="00006B89"/>
    <w:rsid w:val="00010084"/>
    <w:rsid w:val="00015497"/>
    <w:rsid w:val="000577F1"/>
    <w:rsid w:val="00080690"/>
    <w:rsid w:val="00083715"/>
    <w:rsid w:val="000A70D8"/>
    <w:rsid w:val="000B442E"/>
    <w:rsid w:val="000E2C5B"/>
    <w:rsid w:val="000E530B"/>
    <w:rsid w:val="000F2529"/>
    <w:rsid w:val="000F3D2B"/>
    <w:rsid w:val="00104598"/>
    <w:rsid w:val="001156E6"/>
    <w:rsid w:val="0012296A"/>
    <w:rsid w:val="00132441"/>
    <w:rsid w:val="0014235E"/>
    <w:rsid w:val="00142AA4"/>
    <w:rsid w:val="00147A8B"/>
    <w:rsid w:val="00162CD0"/>
    <w:rsid w:val="00170830"/>
    <w:rsid w:val="00195AB5"/>
    <w:rsid w:val="00196509"/>
    <w:rsid w:val="001A1F38"/>
    <w:rsid w:val="001B714B"/>
    <w:rsid w:val="001C19A5"/>
    <w:rsid w:val="001C1EAF"/>
    <w:rsid w:val="001D2B87"/>
    <w:rsid w:val="001D6D24"/>
    <w:rsid w:val="001D7845"/>
    <w:rsid w:val="001E26C8"/>
    <w:rsid w:val="001E686A"/>
    <w:rsid w:val="001F0CCB"/>
    <w:rsid w:val="002029B8"/>
    <w:rsid w:val="002078CE"/>
    <w:rsid w:val="00222575"/>
    <w:rsid w:val="00236F7D"/>
    <w:rsid w:val="00243BAF"/>
    <w:rsid w:val="00261112"/>
    <w:rsid w:val="00264B03"/>
    <w:rsid w:val="00267A81"/>
    <w:rsid w:val="0028130F"/>
    <w:rsid w:val="002B2E3B"/>
    <w:rsid w:val="002B4FD1"/>
    <w:rsid w:val="002D76C4"/>
    <w:rsid w:val="00300240"/>
    <w:rsid w:val="00313E34"/>
    <w:rsid w:val="00316931"/>
    <w:rsid w:val="0033276A"/>
    <w:rsid w:val="00356D86"/>
    <w:rsid w:val="003619FC"/>
    <w:rsid w:val="00363B1C"/>
    <w:rsid w:val="00367200"/>
    <w:rsid w:val="00376EAB"/>
    <w:rsid w:val="00382863"/>
    <w:rsid w:val="0038353C"/>
    <w:rsid w:val="00383E9C"/>
    <w:rsid w:val="003940CA"/>
    <w:rsid w:val="003A5464"/>
    <w:rsid w:val="003A7E33"/>
    <w:rsid w:val="003E2857"/>
    <w:rsid w:val="003F37E2"/>
    <w:rsid w:val="003F4C7F"/>
    <w:rsid w:val="00405FF1"/>
    <w:rsid w:val="00406E6E"/>
    <w:rsid w:val="00415CDC"/>
    <w:rsid w:val="00423E5B"/>
    <w:rsid w:val="004332A2"/>
    <w:rsid w:val="004466C6"/>
    <w:rsid w:val="00453AC0"/>
    <w:rsid w:val="00454E0D"/>
    <w:rsid w:val="00455019"/>
    <w:rsid w:val="00462DBF"/>
    <w:rsid w:val="00474F4A"/>
    <w:rsid w:val="00482A00"/>
    <w:rsid w:val="00496D12"/>
    <w:rsid w:val="004C734C"/>
    <w:rsid w:val="004D1E35"/>
    <w:rsid w:val="004E4CD8"/>
    <w:rsid w:val="004F6C4F"/>
    <w:rsid w:val="0050260A"/>
    <w:rsid w:val="00505E32"/>
    <w:rsid w:val="0051760A"/>
    <w:rsid w:val="005238B7"/>
    <w:rsid w:val="0053654E"/>
    <w:rsid w:val="0054229D"/>
    <w:rsid w:val="005504ED"/>
    <w:rsid w:val="0055500B"/>
    <w:rsid w:val="00557C67"/>
    <w:rsid w:val="0057784F"/>
    <w:rsid w:val="0059418D"/>
    <w:rsid w:val="00597F02"/>
    <w:rsid w:val="005C7F62"/>
    <w:rsid w:val="005D162A"/>
    <w:rsid w:val="005F6B92"/>
    <w:rsid w:val="005F7FB8"/>
    <w:rsid w:val="00621196"/>
    <w:rsid w:val="006519E9"/>
    <w:rsid w:val="00661216"/>
    <w:rsid w:val="0067697C"/>
    <w:rsid w:val="006C4698"/>
    <w:rsid w:val="006D3E07"/>
    <w:rsid w:val="006E7613"/>
    <w:rsid w:val="006F030C"/>
    <w:rsid w:val="006F13D1"/>
    <w:rsid w:val="006F32DD"/>
    <w:rsid w:val="006F6EA0"/>
    <w:rsid w:val="00732973"/>
    <w:rsid w:val="00755151"/>
    <w:rsid w:val="00766DA3"/>
    <w:rsid w:val="00767F79"/>
    <w:rsid w:val="00770FFF"/>
    <w:rsid w:val="007851F2"/>
    <w:rsid w:val="007B4B4E"/>
    <w:rsid w:val="007C3058"/>
    <w:rsid w:val="007D2528"/>
    <w:rsid w:val="007D6A23"/>
    <w:rsid w:val="007D7D82"/>
    <w:rsid w:val="007E06DC"/>
    <w:rsid w:val="007E08D1"/>
    <w:rsid w:val="007E19C6"/>
    <w:rsid w:val="0080484D"/>
    <w:rsid w:val="00813BAB"/>
    <w:rsid w:val="00817D95"/>
    <w:rsid w:val="008257BF"/>
    <w:rsid w:val="00832465"/>
    <w:rsid w:val="00854DB0"/>
    <w:rsid w:val="008557B2"/>
    <w:rsid w:val="00857A26"/>
    <w:rsid w:val="008646FB"/>
    <w:rsid w:val="00866958"/>
    <w:rsid w:val="008707C3"/>
    <w:rsid w:val="00884672"/>
    <w:rsid w:val="008A1846"/>
    <w:rsid w:val="008A7099"/>
    <w:rsid w:val="008B19C6"/>
    <w:rsid w:val="008D7D29"/>
    <w:rsid w:val="008E3505"/>
    <w:rsid w:val="008E3E9B"/>
    <w:rsid w:val="008F1702"/>
    <w:rsid w:val="008F3829"/>
    <w:rsid w:val="00911C9E"/>
    <w:rsid w:val="00926E7F"/>
    <w:rsid w:val="009342FA"/>
    <w:rsid w:val="00944405"/>
    <w:rsid w:val="00962A5F"/>
    <w:rsid w:val="00985788"/>
    <w:rsid w:val="00993F12"/>
    <w:rsid w:val="009A4461"/>
    <w:rsid w:val="009B3B0A"/>
    <w:rsid w:val="009C220E"/>
    <w:rsid w:val="009C3762"/>
    <w:rsid w:val="009D13FE"/>
    <w:rsid w:val="009D43C8"/>
    <w:rsid w:val="009E25C8"/>
    <w:rsid w:val="009E6B0D"/>
    <w:rsid w:val="00A22A1B"/>
    <w:rsid w:val="00A270C6"/>
    <w:rsid w:val="00A320A7"/>
    <w:rsid w:val="00A349AD"/>
    <w:rsid w:val="00A36785"/>
    <w:rsid w:val="00A6429B"/>
    <w:rsid w:val="00A70E67"/>
    <w:rsid w:val="00A8410B"/>
    <w:rsid w:val="00AA5132"/>
    <w:rsid w:val="00AD78E1"/>
    <w:rsid w:val="00AE41DF"/>
    <w:rsid w:val="00B0305D"/>
    <w:rsid w:val="00B065CF"/>
    <w:rsid w:val="00B14A09"/>
    <w:rsid w:val="00B308EB"/>
    <w:rsid w:val="00B37366"/>
    <w:rsid w:val="00B43952"/>
    <w:rsid w:val="00B60670"/>
    <w:rsid w:val="00B70B38"/>
    <w:rsid w:val="00B95665"/>
    <w:rsid w:val="00BA08B7"/>
    <w:rsid w:val="00BA1298"/>
    <w:rsid w:val="00BB0B17"/>
    <w:rsid w:val="00BB2980"/>
    <w:rsid w:val="00BB7557"/>
    <w:rsid w:val="00C17948"/>
    <w:rsid w:val="00C22C45"/>
    <w:rsid w:val="00C23474"/>
    <w:rsid w:val="00C30750"/>
    <w:rsid w:val="00C346D6"/>
    <w:rsid w:val="00C35FFA"/>
    <w:rsid w:val="00C361F4"/>
    <w:rsid w:val="00C420C7"/>
    <w:rsid w:val="00C435B2"/>
    <w:rsid w:val="00C449D9"/>
    <w:rsid w:val="00C5585A"/>
    <w:rsid w:val="00C717AE"/>
    <w:rsid w:val="00C82BEF"/>
    <w:rsid w:val="00CC465E"/>
    <w:rsid w:val="00CD3421"/>
    <w:rsid w:val="00D210EC"/>
    <w:rsid w:val="00D25461"/>
    <w:rsid w:val="00D25999"/>
    <w:rsid w:val="00D43B2C"/>
    <w:rsid w:val="00D93F7B"/>
    <w:rsid w:val="00DA4941"/>
    <w:rsid w:val="00DB1E2C"/>
    <w:rsid w:val="00DE19E6"/>
    <w:rsid w:val="00DE424C"/>
    <w:rsid w:val="00DF334C"/>
    <w:rsid w:val="00DF560D"/>
    <w:rsid w:val="00DF5D62"/>
    <w:rsid w:val="00E23443"/>
    <w:rsid w:val="00E24707"/>
    <w:rsid w:val="00E27A04"/>
    <w:rsid w:val="00E36599"/>
    <w:rsid w:val="00E46D50"/>
    <w:rsid w:val="00E47B10"/>
    <w:rsid w:val="00E63B1D"/>
    <w:rsid w:val="00E81B8E"/>
    <w:rsid w:val="00E94CE0"/>
    <w:rsid w:val="00E9605C"/>
    <w:rsid w:val="00E962A5"/>
    <w:rsid w:val="00EB150D"/>
    <w:rsid w:val="00EB44D8"/>
    <w:rsid w:val="00EB6D44"/>
    <w:rsid w:val="00EC4E43"/>
    <w:rsid w:val="00ED3D9F"/>
    <w:rsid w:val="00ED3DC0"/>
    <w:rsid w:val="00EE1767"/>
    <w:rsid w:val="00EF01B8"/>
    <w:rsid w:val="00EF02B9"/>
    <w:rsid w:val="00EF3F4B"/>
    <w:rsid w:val="00F07DE0"/>
    <w:rsid w:val="00F20AD8"/>
    <w:rsid w:val="00F37BD6"/>
    <w:rsid w:val="00F40153"/>
    <w:rsid w:val="00F52A0E"/>
    <w:rsid w:val="00F7016B"/>
    <w:rsid w:val="00F714DD"/>
    <w:rsid w:val="00F76098"/>
    <w:rsid w:val="00F8254A"/>
    <w:rsid w:val="00F83B2E"/>
    <w:rsid w:val="00F84E36"/>
    <w:rsid w:val="00FA4EFB"/>
    <w:rsid w:val="00FA6681"/>
    <w:rsid w:val="00FA6E2A"/>
    <w:rsid w:val="00FA7B7B"/>
    <w:rsid w:val="00FB3525"/>
    <w:rsid w:val="00FC1736"/>
    <w:rsid w:val="00FD1E64"/>
    <w:rsid w:val="00FD796C"/>
    <w:rsid w:val="00FE642A"/>
    <w:rsid w:val="03804286"/>
    <w:rsid w:val="04A628C0"/>
    <w:rsid w:val="04EE72A6"/>
    <w:rsid w:val="078E7EE0"/>
    <w:rsid w:val="084A5EA6"/>
    <w:rsid w:val="10213F0A"/>
    <w:rsid w:val="13C00DB0"/>
    <w:rsid w:val="161142DD"/>
    <w:rsid w:val="164D3A85"/>
    <w:rsid w:val="19EB49FD"/>
    <w:rsid w:val="1C434FAE"/>
    <w:rsid w:val="1CD427C9"/>
    <w:rsid w:val="1EEF2F83"/>
    <w:rsid w:val="1F702B7E"/>
    <w:rsid w:val="20692753"/>
    <w:rsid w:val="246F5E7A"/>
    <w:rsid w:val="27656D74"/>
    <w:rsid w:val="276945CB"/>
    <w:rsid w:val="27FB2A80"/>
    <w:rsid w:val="2A0472E7"/>
    <w:rsid w:val="2BBA0BDE"/>
    <w:rsid w:val="2D9F35F4"/>
    <w:rsid w:val="2DDF1BF0"/>
    <w:rsid w:val="30E85B5C"/>
    <w:rsid w:val="358F7A72"/>
    <w:rsid w:val="37D72911"/>
    <w:rsid w:val="40B47154"/>
    <w:rsid w:val="42784CF1"/>
    <w:rsid w:val="46736773"/>
    <w:rsid w:val="46B5206F"/>
    <w:rsid w:val="4F612473"/>
    <w:rsid w:val="52A05A32"/>
    <w:rsid w:val="55306D65"/>
    <w:rsid w:val="58496924"/>
    <w:rsid w:val="58D16285"/>
    <w:rsid w:val="5A233D8D"/>
    <w:rsid w:val="5C127B7F"/>
    <w:rsid w:val="5E6E4E35"/>
    <w:rsid w:val="602A1BC6"/>
    <w:rsid w:val="6AF6137A"/>
    <w:rsid w:val="6E0613C6"/>
    <w:rsid w:val="71794E25"/>
    <w:rsid w:val="7963298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qFormat="1"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insoku w:val="0"/>
      <w:autoSpaceDE w:val="0"/>
      <w:autoSpaceDN w:val="0"/>
      <w:adjustRightInd w:val="0"/>
      <w:snapToGrid w:val="0"/>
      <w:textAlignment w:val="baseline"/>
    </w:pPr>
    <w:rPr>
      <w:rFonts w:ascii="Arial" w:hAnsi="Arial" w:cs="Arial" w:eastAsiaTheme="minorEastAsia"/>
      <w:snapToGrid w:val="0"/>
      <w:color w:val="000000"/>
      <w:sz w:val="21"/>
      <w:szCs w:val="21"/>
      <w:lang w:val="en-US" w:eastAsia="en-US" w:bidi="ar-SA"/>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semiHidden/>
    <w:unhideWhenUsed/>
    <w:qFormat/>
    <w:uiPriority w:val="99"/>
  </w:style>
  <w:style w:type="paragraph" w:styleId="3">
    <w:name w:val="Body Text"/>
    <w:basedOn w:val="1"/>
    <w:link w:val="14"/>
    <w:semiHidden/>
    <w:qFormat/>
    <w:uiPriority w:val="0"/>
    <w:rPr>
      <w:rFonts w:ascii="方正仿宋_GB2312" w:hAnsi="方正仿宋_GB2312" w:eastAsia="方正仿宋_GB2312" w:cs="方正仿宋_GB2312"/>
      <w:sz w:val="31"/>
      <w:szCs w:val="31"/>
    </w:rPr>
  </w:style>
  <w:style w:type="paragraph" w:styleId="4">
    <w:name w:val="Balloon Text"/>
    <w:basedOn w:val="1"/>
    <w:link w:val="19"/>
    <w:semiHidden/>
    <w:unhideWhenUsed/>
    <w:qFormat/>
    <w:uiPriority w:val="99"/>
    <w:rPr>
      <w:sz w:val="18"/>
      <w:szCs w:val="18"/>
    </w:rPr>
  </w:style>
  <w:style w:type="paragraph" w:styleId="5">
    <w:name w:val="footer"/>
    <w:basedOn w:val="1"/>
    <w:link w:val="16"/>
    <w:unhideWhenUsed/>
    <w:qFormat/>
    <w:uiPriority w:val="99"/>
    <w:pPr>
      <w:tabs>
        <w:tab w:val="center" w:pos="4153"/>
        <w:tab w:val="right" w:pos="8306"/>
      </w:tabs>
    </w:pPr>
    <w:rPr>
      <w:sz w:val="18"/>
      <w:szCs w:val="18"/>
    </w:rPr>
  </w:style>
  <w:style w:type="paragraph" w:styleId="6">
    <w:name w:val="header"/>
    <w:basedOn w:val="1"/>
    <w:link w:val="15"/>
    <w:unhideWhenUsed/>
    <w:qFormat/>
    <w:uiPriority w:val="99"/>
    <w:pPr>
      <w:tabs>
        <w:tab w:val="center" w:pos="4153"/>
        <w:tab w:val="right" w:pos="8306"/>
      </w:tabs>
      <w:jc w:val="center"/>
    </w:pPr>
    <w:rPr>
      <w:sz w:val="18"/>
      <w:szCs w:val="18"/>
    </w:rPr>
  </w:style>
  <w:style w:type="paragraph" w:styleId="7">
    <w:name w:val="Normal (Web)"/>
    <w:basedOn w:val="1"/>
    <w:semiHidden/>
    <w:unhideWhenUsed/>
    <w:qFormat/>
    <w:uiPriority w:val="99"/>
    <w:pPr>
      <w:kinsoku/>
      <w:autoSpaceDE/>
      <w:autoSpaceDN/>
      <w:adjustRightInd/>
      <w:snapToGrid/>
      <w:spacing w:before="100" w:beforeAutospacing="1" w:after="100" w:afterAutospacing="1"/>
      <w:textAlignment w:val="auto"/>
    </w:pPr>
    <w:rPr>
      <w:rFonts w:ascii="宋体" w:hAnsi="宋体" w:eastAsia="宋体" w:cs="宋体"/>
      <w:snapToGrid/>
      <w:color w:val="auto"/>
      <w:sz w:val="24"/>
      <w:szCs w:val="24"/>
      <w:lang w:eastAsia="zh-CN"/>
    </w:rPr>
  </w:style>
  <w:style w:type="character" w:styleId="10">
    <w:name w:val="page number"/>
    <w:basedOn w:val="9"/>
    <w:semiHidden/>
    <w:unhideWhenUsed/>
    <w:qFormat/>
    <w:uiPriority w:val="99"/>
  </w:style>
  <w:style w:type="character" w:styleId="11">
    <w:name w:val="Hyperlink"/>
    <w:basedOn w:val="9"/>
    <w:unhideWhenUsed/>
    <w:qFormat/>
    <w:uiPriority w:val="99"/>
    <w:rPr>
      <w:color w:val="0563C1" w:themeColor="hyperlink"/>
      <w:u w:val="single"/>
      <w14:textFill>
        <w14:solidFill>
          <w14:schemeClr w14:val="hlink"/>
        </w14:solidFill>
      </w14:textFill>
    </w:rPr>
  </w:style>
  <w:style w:type="character" w:styleId="12">
    <w:name w:val="annotation reference"/>
    <w:basedOn w:val="9"/>
    <w:semiHidden/>
    <w:unhideWhenUsed/>
    <w:qFormat/>
    <w:uiPriority w:val="99"/>
    <w:rPr>
      <w:sz w:val="21"/>
      <w:szCs w:val="21"/>
    </w:rPr>
  </w:style>
  <w:style w:type="table" w:customStyle="1" w:styleId="13">
    <w:name w:val="Table Normal"/>
    <w:semiHidden/>
    <w:unhideWhenUsed/>
    <w:qFormat/>
    <w:uiPriority w:val="0"/>
    <w:rPr>
      <w:rFonts w:ascii="Arial" w:hAnsi="Arial" w:cs="Arial"/>
      <w:snapToGrid w:val="0"/>
      <w:color w:val="000000"/>
      <w:szCs w:val="21"/>
      <w:lang w:eastAsia="en-US"/>
    </w:rPr>
    <w:tblPr>
      <w:tblCellMar>
        <w:top w:w="0" w:type="dxa"/>
        <w:left w:w="0" w:type="dxa"/>
        <w:bottom w:w="0" w:type="dxa"/>
        <w:right w:w="0" w:type="dxa"/>
      </w:tblCellMar>
    </w:tblPr>
  </w:style>
  <w:style w:type="character" w:customStyle="1" w:styleId="14">
    <w:name w:val="正文文本 字符"/>
    <w:basedOn w:val="9"/>
    <w:link w:val="3"/>
    <w:semiHidden/>
    <w:qFormat/>
    <w:uiPriority w:val="0"/>
    <w:rPr>
      <w:rFonts w:ascii="方正仿宋_GB2312" w:hAnsi="方正仿宋_GB2312" w:eastAsia="方正仿宋_GB2312" w:cs="方正仿宋_GB2312"/>
      <w:snapToGrid w:val="0"/>
      <w:color w:val="000000"/>
      <w:kern w:val="0"/>
      <w:sz w:val="31"/>
      <w:szCs w:val="31"/>
      <w:lang w:eastAsia="en-US"/>
      <w14:ligatures w14:val="none"/>
    </w:rPr>
  </w:style>
  <w:style w:type="character" w:customStyle="1" w:styleId="15">
    <w:name w:val="页眉 字符"/>
    <w:basedOn w:val="9"/>
    <w:link w:val="6"/>
    <w:qFormat/>
    <w:uiPriority w:val="99"/>
    <w:rPr>
      <w:rFonts w:ascii="Arial" w:hAnsi="Arial" w:cs="Arial"/>
      <w:snapToGrid w:val="0"/>
      <w:color w:val="000000"/>
      <w:kern w:val="0"/>
      <w:sz w:val="18"/>
      <w:szCs w:val="18"/>
      <w:lang w:eastAsia="en-US"/>
      <w14:ligatures w14:val="none"/>
    </w:rPr>
  </w:style>
  <w:style w:type="character" w:customStyle="1" w:styleId="16">
    <w:name w:val="页脚 字符"/>
    <w:basedOn w:val="9"/>
    <w:link w:val="5"/>
    <w:qFormat/>
    <w:uiPriority w:val="99"/>
    <w:rPr>
      <w:rFonts w:ascii="Arial" w:hAnsi="Arial" w:cs="Arial"/>
      <w:snapToGrid w:val="0"/>
      <w:color w:val="000000"/>
      <w:kern w:val="0"/>
      <w:sz w:val="18"/>
      <w:szCs w:val="18"/>
      <w:lang w:eastAsia="en-US"/>
      <w14:ligatures w14:val="none"/>
    </w:rPr>
  </w:style>
  <w:style w:type="paragraph" w:styleId="17">
    <w:name w:val="List Paragraph"/>
    <w:basedOn w:val="1"/>
    <w:qFormat/>
    <w:uiPriority w:val="34"/>
    <w:pPr>
      <w:ind w:firstLine="420" w:firstLineChars="200"/>
    </w:pPr>
  </w:style>
  <w:style w:type="paragraph" w:customStyle="1" w:styleId="18">
    <w:name w:val="列表段落1"/>
    <w:basedOn w:val="1"/>
    <w:qFormat/>
    <w:uiPriority w:val="99"/>
    <w:pPr>
      <w:ind w:firstLine="420" w:firstLineChars="200"/>
    </w:pPr>
  </w:style>
  <w:style w:type="character" w:customStyle="1" w:styleId="19">
    <w:name w:val="批注框文本 字符"/>
    <w:basedOn w:val="9"/>
    <w:link w:val="4"/>
    <w:semiHidden/>
    <w:qFormat/>
    <w:uiPriority w:val="99"/>
    <w:rPr>
      <w:rFonts w:ascii="Arial" w:hAnsi="Arial" w:cs="Arial"/>
      <w:snapToGrid w:val="0"/>
      <w:color w:val="000000"/>
      <w:sz w:val="18"/>
      <w:szCs w:val="18"/>
      <w:lang w:eastAsia="en-US"/>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38509b4b-142b-407a-bafc-c89ff974becc</errorID>
      <errorWord>结合</errorWord>
      <group>L1_AI</group>
      <groupName>深度校对</groupName>
      <ability>L2_AI_Punc</ability>
      <abilityName>标点纠错</abilityName>
      <candidateList>
        <item>，结合</item>
      </candidateList>
      <explain/>
      <paraID>5D066667</paraID>
      <start>96</start>
      <end>99</end>
      <status>modified</status>
      <modifiedWord>，结合</modifiedWord>
      <trackRevisions>false</trackRevisions>
    </reviewItem>
    <reviewItem>
      <errorID>6a9501e9-9692-446e-93c6-39496c1551c4</errorID>
      <errorWord>/）</errorWord>
      <group>L1_Punc</group>
      <groupName>标点问题</groupName>
      <ability>L2_Punc</ability>
      <abilityName>标点符号检查</abilityName>
      <candidateList>
        <item>）</item>
      </candidateList>
      <explain/>
      <paraID>40C102BE</paraID>
      <start>81</start>
      <end>83</end>
      <status>unmodified</status>
      <modifiedWord/>
      <trackRevisions>false</trackRevisions>
    </reviewItem>
    <reviewItem>
      <errorID>80d42104-98df-48de-a749-5fa38d212584</errorID>
      <errorWord>（</errorWord>
      <group>L1_Word</group>
      <groupName>字词问题</groupName>
      <ability>L2_Typo</ability>
      <abilityName>字词错误</abilityName>
      <candidateList>
        <item>（以</item>
      </candidateList>
      <explain/>
      <paraID>3BC6AE1D</paraID>
      <start>76</start>
      <end>77</end>
      <status>unmodified</status>
      <modifiedWord/>
      <trackRevisions>false</trackRevisions>
    </reviewItem>
    <reviewItem>
      <errorID>56d8a90a-13fc-44d7-9534-35f6a7ae9410</errorID>
      <errorWord>方式同步</errorWord>
      <group>L1_AI</group>
      <groupName>深度校对</groupName>
      <ability>L2_AI_Grammar</ability>
      <abilityName>语法纠错</abilityName>
      <candidateList>
        <item>方式</item>
      </candidateList>
      <explain/>
      <paraID>42CF6E03</paraID>
      <start>68</start>
      <end>72</end>
      <status>unmodified</status>
      <modifiedWord/>
      <trackRevisions>false</trackRevisions>
    </reviewItem>
    <reviewItem>
      <errorID>2bd08a90-718a-4815-abb2-84866da69e15</errorID>
      <errorWord>本科</errorWord>
      <group>L1_AI</group>
      <groupName>深度校对</groupName>
      <ability>L2_AI_Grammar</ability>
      <abilityName>语法纠错</abilityName>
      <candidateList>
        <item>本科专业</item>
      </candidateList>
      <explain/>
      <paraID> 8438AA5</paraID>
      <start>147</start>
      <end>149</end>
      <status>unmodified</status>
      <modifiedWord/>
      <trackRevisions>false</trackRevisions>
    </reviewItem>
  </reviewItems>
  <config/>
</contractReview>
</file>

<file path=customXml/itemProps1.xml><?xml version="1.0" encoding="utf-8"?>
<ds:datastoreItem xmlns:ds="http://schemas.openxmlformats.org/officeDocument/2006/customXml" ds:itemID="{fb5499a5-4c15-4fec-af35-f1e04aeedcb9}">
  <ds:schemaRefs/>
</ds:datastoreItem>
</file>

<file path=docProps/app.xml><?xml version="1.0" encoding="utf-8"?>
<Properties xmlns="http://schemas.openxmlformats.org/officeDocument/2006/extended-properties" xmlns:vt="http://schemas.openxmlformats.org/officeDocument/2006/docPropsVTypes">
  <Template>Normal</Template>
  <Company>P R C</Company>
  <Pages>4</Pages>
  <Words>4328</Words>
  <Characters>4596</Characters>
  <Lines>14</Lines>
  <Paragraphs>3</Paragraphs>
  <TotalTime>20</TotalTime>
  <ScaleCrop>false</ScaleCrop>
  <LinksUpToDate>false</LinksUpToDate>
  <CharactersWithSpaces>4652</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2025-06-09T03:35:00Z</dcterms:created>
  <dc:creator>office</dc:creator>
  <cp:lastModifiedBy>wdpqi</cp:lastModifiedBy>
  <cp:lastPrinted>2026-05-08T06:21:00Z</cp:lastPrinted>
  <dcterms:modified xsi:type="dcterms:W3CDTF">2026-08-11T11:58:32Z</dcterms:modified>
  <cp:revision>77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eyJoZGlkIjoiOWFlYjM1MTE2MDdiNjUxZmVkM2I4MTFmNjhiNWMxOTAifQ==</vt:lpwstr>
  </property>
  <property fmtid="{D5CDD505-2E9C-101B-9397-08002B2CF9AE}" pid="3" name="KSOProductBuildVer">
    <vt:lpwstr>2052-12.1.0.21915</vt:lpwstr>
  </property>
  <property fmtid="{D5CDD505-2E9C-101B-9397-08002B2CF9AE}" pid="4" name="ICV">
    <vt:lpwstr>E0FBFB334B1A477384C8FAE75A06CE93_13</vt:lpwstr>
  </property>
</Properties>
</file>